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7BF4F">
      <w:pPr>
        <w:pStyle w:val="2"/>
        <w:bidi w:val="0"/>
        <w:rPr>
          <w:rFonts w:hint="default" w:ascii="Times New Roman" w:hAnsi="Times New Roman" w:cs="Times New Roman"/>
        </w:rPr>
      </w:pPr>
      <w:bookmarkStart w:id="0" w:name="_Toc959943537"/>
      <w:bookmarkStart w:id="41" w:name="_GoBack"/>
      <w:r>
        <w:rPr>
          <w:rFonts w:hint="default" w:ascii="Times New Roman" w:hAnsi="Times New Roman" w:cs="Times New Roman"/>
        </w:rPr>
        <w:t>特种设备重大事故隐患判定准则</w:t>
      </w:r>
      <w:bookmarkEnd w:id="0"/>
    </w:p>
    <w:bookmarkEnd w:id="41"/>
    <w:p w14:paraId="66D38BB7">
      <w:pPr>
        <w:pStyle w:val="2"/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" w:name="_Toc426518323"/>
      <w:bookmarkStart w:id="2" w:name="_Toc845657225"/>
      <w:bookmarkStart w:id="3" w:name="_Toc2019237997"/>
      <w:bookmarkStart w:id="4" w:name="_Toc1514370087"/>
      <w:bookmarkStart w:id="5" w:name="_Toc1990996785"/>
      <w:bookmarkStart w:id="6" w:name="_Toc1273248187"/>
      <w:bookmarkStart w:id="7" w:name="_Toc1460813969"/>
      <w:bookmarkStart w:id="8" w:name="_Toc788699643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GB45067—2024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9C7D984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cs="Times New Roman"/>
        </w:rPr>
      </w:pPr>
      <w:bookmarkStart w:id="9" w:name="_Toc854818279"/>
      <w:bookmarkStart w:id="10" w:name="_Toc82477883"/>
      <w:bookmarkStart w:id="11" w:name="_Toc582606660"/>
      <w:bookmarkStart w:id="12" w:name="_Toc145640441"/>
      <w:bookmarkStart w:id="13" w:name="_Toc114669829"/>
      <w:bookmarkStart w:id="14" w:name="_Toc207879660"/>
      <w:bookmarkStart w:id="15" w:name="_Toc1386390283"/>
      <w:bookmarkStart w:id="16" w:name="_Toc1212868071"/>
      <w:r>
        <w:rPr>
          <w:rFonts w:hint="default" w:ascii="Times New Roman" w:hAnsi="Times New Roman" w:cs="Times New Roman"/>
          <w:lang w:eastAsia="zh-CN"/>
        </w:rPr>
        <w:t>一</w:t>
      </w:r>
      <w:r>
        <w:rPr>
          <w:rFonts w:hint="default" w:ascii="Times New Roman" w:hAnsi="Times New Roman" w:cs="Times New Roman"/>
        </w:rPr>
        <w:t>、范围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03A06F5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本文件规定了特种设备重大事故隐患的术语和定义，判定准则。</w:t>
      </w:r>
    </w:p>
    <w:p w14:paraId="26A7353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本文件适用于对使用过程的特种设备重大事故隐患判定。</w:t>
      </w:r>
    </w:p>
    <w:p w14:paraId="431D4D9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本文件不适用于：</w:t>
      </w:r>
    </w:p>
    <w:p w14:paraId="09E60F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a) 军事装备、核设施、航空航天器使用的特种设备；</w:t>
      </w:r>
    </w:p>
    <w:p w14:paraId="20F28F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b) 铁路机车、海上设施和船舶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矿山并下使用的特种设备以及民用机场专用设备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房屋建筑工地、市政工程工地用起重机械和场（厂）内专用机动车辆；</w:t>
      </w:r>
    </w:p>
    <w:p w14:paraId="7BAB83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c) 按照特种设备安全技术规范规定不需要办理使用登记的特种设备。</w:t>
      </w:r>
    </w:p>
    <w:p w14:paraId="41255DDC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cs="Times New Roman"/>
        </w:rPr>
      </w:pPr>
      <w:bookmarkStart w:id="17" w:name="_Toc1734838492"/>
      <w:bookmarkStart w:id="18" w:name="_Toc1329941560"/>
      <w:bookmarkStart w:id="19" w:name="_Toc383523856"/>
      <w:bookmarkStart w:id="20" w:name="_Toc779344753"/>
      <w:bookmarkStart w:id="21" w:name="_Toc704743395"/>
      <w:bookmarkStart w:id="22" w:name="_Toc1100979471"/>
      <w:bookmarkStart w:id="23" w:name="_Toc1750474284"/>
      <w:bookmarkStart w:id="24" w:name="_Toc1027355173"/>
      <w:r>
        <w:rPr>
          <w:rFonts w:hint="default" w:ascii="Times New Roman" w:hAnsi="Times New Roman" w:cs="Times New Roman"/>
          <w:lang w:eastAsia="zh-CN"/>
        </w:rPr>
        <w:t>二</w:t>
      </w:r>
      <w:r>
        <w:rPr>
          <w:rFonts w:hint="default" w:ascii="Times New Roman" w:hAnsi="Times New Roman" w:cs="Times New Roman"/>
        </w:rPr>
        <w:t>、规范性引用文件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6AB39E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本文件没有规范性引用文件</w:t>
      </w:r>
      <w:r>
        <w:rPr>
          <w:rFonts w:hint="default" w:ascii="Times New Roman" w:hAnsi="Times New Roman" w:cs="Times New Roman"/>
          <w:lang w:eastAsia="zh-CN"/>
        </w:rPr>
        <w:t>。</w:t>
      </w:r>
    </w:p>
    <w:p w14:paraId="404D1723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cs="Times New Roman"/>
        </w:rPr>
      </w:pPr>
      <w:bookmarkStart w:id="25" w:name="_Toc1232836753"/>
      <w:bookmarkStart w:id="26" w:name="_Toc377446146"/>
      <w:bookmarkStart w:id="27" w:name="_Toc982419190"/>
      <w:bookmarkStart w:id="28" w:name="_Toc101940692"/>
      <w:bookmarkStart w:id="29" w:name="_Toc967985919"/>
      <w:bookmarkStart w:id="30" w:name="_Toc1152372954"/>
      <w:bookmarkStart w:id="31" w:name="_Toc2108901453"/>
      <w:bookmarkStart w:id="32" w:name="_Toc89136096"/>
      <w:r>
        <w:rPr>
          <w:rFonts w:hint="default" w:ascii="Times New Roman" w:hAnsi="Times New Roman" w:cs="Times New Roman"/>
          <w:lang w:eastAsia="zh-CN"/>
        </w:rPr>
        <w:t>三、</w:t>
      </w:r>
      <w:r>
        <w:rPr>
          <w:rFonts w:hint="default" w:ascii="Times New Roman" w:hAnsi="Times New Roman" w:cs="Times New Roman"/>
        </w:rPr>
        <w:t>术语和定义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12C1DF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</w:rPr>
        <w:t>下列术语和定义适用于本文件</w:t>
      </w:r>
      <w:r>
        <w:rPr>
          <w:rFonts w:hint="default" w:ascii="Times New Roman" w:hAnsi="Times New Roman" w:cs="Times New Roman"/>
          <w:lang w:eastAsia="zh-CN"/>
        </w:rPr>
        <w:t>。</w:t>
      </w:r>
    </w:p>
    <w:p w14:paraId="506E6EB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3.1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特种设备重大事故隐患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major accident- petential of special equipmenf</w:t>
      </w:r>
      <w:r>
        <w:rPr>
          <w:rFonts w:hint="default" w:ascii="Times New Roman" w:hAnsi="Times New Roman" w:cs="Times New Roman"/>
          <w:lang w:eastAsia="zh-CN"/>
        </w:rPr>
        <w:t>）。</w:t>
      </w:r>
      <w:r>
        <w:rPr>
          <w:rFonts w:hint="default" w:ascii="Times New Roman" w:hAnsi="Times New Roman" w:cs="Times New Roman"/>
        </w:rPr>
        <w:t>在特种设备使用过程中，存在的危害程度较大、可能导致群死群伤或造成重大经济损失的潜在不安全情形。</w:t>
      </w:r>
    </w:p>
    <w:p w14:paraId="7E478DE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注：特种设备重大事故隐患对应《中华人民共和国特种设备安全法》中的严重事故隐患。</w:t>
      </w:r>
    </w:p>
    <w:p w14:paraId="029D2ED4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cs="Times New Roman"/>
        </w:rPr>
      </w:pPr>
      <w:bookmarkStart w:id="33" w:name="_Toc76584323"/>
      <w:bookmarkStart w:id="34" w:name="_Toc1228262363"/>
      <w:bookmarkStart w:id="35" w:name="_Toc575481231"/>
      <w:bookmarkStart w:id="36" w:name="_Toc107500961"/>
      <w:bookmarkStart w:id="37" w:name="_Toc1749288141"/>
      <w:bookmarkStart w:id="38" w:name="_Toc18528182"/>
      <w:bookmarkStart w:id="39" w:name="_Toc179286276"/>
      <w:bookmarkStart w:id="40" w:name="_Toc823464630"/>
      <w:r>
        <w:rPr>
          <w:rFonts w:hint="default" w:ascii="Times New Roman" w:hAnsi="Times New Roman" w:cs="Times New Roman"/>
          <w:lang w:eastAsia="zh-CN"/>
        </w:rPr>
        <w:t>四、</w:t>
      </w:r>
      <w:r>
        <w:rPr>
          <w:rFonts w:hint="default" w:ascii="Times New Roman" w:hAnsi="Times New Roman" w:cs="Times New Roman"/>
        </w:rPr>
        <w:t>判定准则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2252BA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特种设备有下列情形之一仍继续使用的，应判定为重大事故隐患。</w:t>
      </w:r>
    </w:p>
    <w:p w14:paraId="5CD0506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a) 特种设备未取得许可生产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因安全问题国家明令淘法、已经报废或者达到报废条件。</w:t>
      </w:r>
    </w:p>
    <w:p w14:paraId="3A1B68C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b) 特种设备发生过事故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未对其进行全面检查、消除事故隐患。</w:t>
      </w:r>
    </w:p>
    <w:p w14:paraId="73D9F6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c) 未按规定进行监督检验或者监督检验不合格。</w:t>
      </w:r>
    </w:p>
    <w:p w14:paraId="0CC6B2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d) 有4.3~4.10中规定的超过规定参数、使用范围的情形。</w:t>
      </w:r>
    </w:p>
    <w:p w14:paraId="7C4046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</w:rPr>
        <w:t>4.2 锅炉有下列情形之一仍继续使用的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应判定为重大事故</w:t>
      </w:r>
      <w:r>
        <w:rPr>
          <w:rFonts w:hint="default" w:ascii="Times New Roman" w:hAnsi="Times New Roman" w:cs="Times New Roman"/>
          <w:lang w:eastAsia="zh-CN"/>
        </w:rPr>
        <w:t>隐患。</w:t>
      </w:r>
    </w:p>
    <w:p w14:paraId="6C31CE7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a) 定期检验的检验结论为“不符合要求”。</w:t>
      </w:r>
    </w:p>
    <w:p w14:paraId="3DC4A3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b</w:t>
      </w:r>
      <w:r>
        <w:rPr>
          <w:rFonts w:hint="default" w:ascii="Times New Roman" w:hAnsi="Times New Roman" w:cs="Times New Roman"/>
        </w:rPr>
        <w:t>) 热工仪表失效或控制电（气）源中断，导致无法监视、调整主要运行参数。</w:t>
      </w:r>
    </w:p>
    <w:p w14:paraId="2843AE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c) 安全阀（爆破阀装置）缺失或失效。</w:t>
      </w:r>
    </w:p>
    <w:p w14:paraId="2889FD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d) 系统报警装置缺失或失效。</w:t>
      </w:r>
    </w:p>
    <w:p w14:paraId="6965B4E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e) 联锁保护装置缺失或失效。</w:t>
      </w:r>
    </w:p>
    <w:p w14:paraId="4A95453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f) 熄火保护装置缺失或失效。</w:t>
      </w:r>
    </w:p>
    <w:p w14:paraId="487FA1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g) 电锅炉主要汽水管道泄漏或锅炉范围内管道破裂。</w:t>
      </w:r>
    </w:p>
    <w:p w14:paraId="762469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 压力容器有下列情形之一仍继续使用的，应判定为重大事故隐患。</w:t>
      </w:r>
    </w:p>
    <w:p w14:paraId="41CEE46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a) 定期检验的检验结论为</w:t>
      </w:r>
      <w:r>
        <w:rPr>
          <w:rFonts w:hint="default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不符合要求</w:t>
      </w:r>
      <w:r>
        <w:rPr>
          <w:rFonts w:hint="default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</w:rPr>
        <w:t>。</w:t>
      </w:r>
    </w:p>
    <w:p w14:paraId="0526D67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b) 固定式压力容器改做移动式压力容器使用。</w:t>
      </w:r>
    </w:p>
    <w:p w14:paraId="2A1CD8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c) 固定式压力容器、移动式压力容器的安全阀、爆破片装置、紧急切断装置缺失或失效。</w:t>
      </w:r>
    </w:p>
    <w:p w14:paraId="6E312C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d) 快开门式压力容器的快开安全保护联锁装置缺失或失效。</w:t>
      </w:r>
    </w:p>
    <w:p w14:paraId="3CEF78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e) 氧舱的接地装置缺失或失效。</w:t>
      </w:r>
    </w:p>
    <w:p w14:paraId="7ECB64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f) 氧舱安全保护联锁装置（联锁功能）失效。</w:t>
      </w:r>
    </w:p>
    <w:p w14:paraId="03CE42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4.4  压力管道有下列情形之一仍继续使用的, 应判定为重大事故隐患。</w:t>
      </w:r>
    </w:p>
    <w:p w14:paraId="1FE076A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a) 定期检验的检验结论为“不符合要求”或“不允许使用”。</w:t>
      </w:r>
    </w:p>
    <w:p w14:paraId="4CA019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b) 安全阀、爆破片装置、紧急切断装置缺失或失效。</w:t>
      </w:r>
    </w:p>
    <w:p w14:paraId="7CEA14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4.5 移动式压力容器或者气瓶充装有下列情形之一的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应判定为重大事故隐患。</w:t>
      </w:r>
    </w:p>
    <w:p w14:paraId="5843EC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a)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未经许可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擅自从事移动式压力容器充装或者气瓶充装活动。</w:t>
      </w:r>
    </w:p>
    <w:p w14:paraId="263775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b)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移动式压力容器、气瓶错装介质。</w:t>
      </w:r>
    </w:p>
    <w:p w14:paraId="2C0CD4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c)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充装设备设施上的紧急切断转置缺失或失效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仍继续使用的。</w:t>
      </w:r>
    </w:p>
    <w:p w14:paraId="24F312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4.6 电梯有下列情形之一仍继续使用的，应判定为重大事故隐患。</w:t>
      </w:r>
    </w:p>
    <w:p w14:paraId="51F6AFA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a) 定期检验的检验结论为“不合格”。</w:t>
      </w:r>
    </w:p>
    <w:p w14:paraId="790530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b) 乘客与载货电梯门锁安全回路被短接。</w:t>
      </w:r>
    </w:p>
    <w:p w14:paraId="6DB5A7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c) 限速器-安全钳联动试验失效。</w:t>
      </w:r>
    </w:p>
    <w:p w14:paraId="02E077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</w:rPr>
        <w:t>d) 自动扶税,自动人行准常急停山开关家失或先效</w:t>
      </w:r>
      <w:r>
        <w:rPr>
          <w:rFonts w:hint="default" w:ascii="Times New Roman" w:hAnsi="Times New Roman" w:cs="Times New Roman"/>
          <w:lang w:eastAsia="zh-CN"/>
        </w:rPr>
        <w:t>。</w:t>
      </w:r>
    </w:p>
    <w:p w14:paraId="1E4138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e) 自动扶梯、自动人行道紧急停止，开关缺失或失效。</w:t>
      </w:r>
    </w:p>
    <w:p w14:paraId="7CC9F17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f) 自动扶梯、自动人行道扶手带外缘与任何障碍物之间距离小于400 mm时，未按要求装设防护挡板。</w:t>
      </w:r>
    </w:p>
    <w:p w14:paraId="335CCD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4.7 起重机械有下列情形之一仍继续使用的，应判定为重大事故隐患。</w:t>
      </w:r>
    </w:p>
    <w:p w14:paraId="34B0290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4) 未经首次检验。</w:t>
      </w:r>
    </w:p>
    <w:p w14:paraId="7EA90C8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b) 定期检验（含首次检验）内检验结论为“不合格”。</w:t>
      </w:r>
    </w:p>
    <w:p w14:paraId="5180BEB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c) 急停开关缺失或失效。</w:t>
      </w:r>
    </w:p>
    <w:p w14:paraId="732EAA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d) 起重量限制器、起重力矩限制器、防坠安全器缺失或失效。</w:t>
      </w:r>
    </w:p>
    <w:p w14:paraId="259CBE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e) 室外工作的轨道式起重机械抗风防滑装置缺失或失效。</w:t>
      </w:r>
    </w:p>
    <w:p w14:paraId="33772C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4.8 客运索道在下列情形之一仍继续使用的, 应判定为重大事故隐患。</w:t>
      </w:r>
    </w:p>
    <w:p w14:paraId="6A5834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a) 定期检验的检验结论为“不合格”或“复检不合格”。</w:t>
      </w:r>
    </w:p>
    <w:p w14:paraId="58A47D1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b) 控制室、站台、机房紧急停生开关缺失或失效。</w:t>
      </w:r>
    </w:p>
    <w:p w14:paraId="5231301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c) 吊厢、吊算、客车门不使锁闭且未停用。</w:t>
      </w:r>
    </w:p>
    <w:p w14:paraId="6F88A44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d) 辅机、备用电源不能启动运行。</w:t>
      </w:r>
    </w:p>
    <w:p w14:paraId="353A48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e) 电气系统安全回路发生故障后，采用短接方法继续运营。</w:t>
      </w:r>
    </w:p>
    <w:p w14:paraId="4A0F298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4.9 大型游乐设施有下列情形之一，仍继续使用的，应判定为重大事故隐患。</w:t>
      </w:r>
    </w:p>
    <w:p w14:paraId="2D4A72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a) 定期检验的检验结论为“不合格”。</w:t>
      </w:r>
    </w:p>
    <w:p w14:paraId="07484DB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b) 安全带、安全压杆和安全挡杆等乘客束缚装置缺失或失效。</w:t>
      </w:r>
    </w:p>
    <w:p w14:paraId="31BC16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c) 座舱舱门锁紧装置缺失或失效。</w:t>
      </w:r>
    </w:p>
    <w:p w14:paraId="393702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d) 制动装置、限位装置、防碰撞及缓冲装置、止逆行装置、限速装置缺失或失效。</w:t>
      </w:r>
    </w:p>
    <w:p w14:paraId="763E9CD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e) 主要受力部件、重要焊缝及重要螺栓出现裂纹、严重变形。</w:t>
      </w:r>
    </w:p>
    <w:p w14:paraId="6F8E31D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4.10 场（厂）内专用机动车辆有下列情形之一仍继继使用的, 应判定为重大事故隐患。</w:t>
      </w:r>
    </w:p>
    <w:p w14:paraId="6A026B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a) 定期检验的检验结论为“不合格”。</w:t>
      </w:r>
    </w:p>
    <w:p w14:paraId="5ECB7E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b) 电动车辆电源紧急切断装紧缺失或失效。</w:t>
      </w:r>
    </w:p>
    <w:p w14:paraId="5EC463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b) 制动（包括行车、驻车）装置缺失或失效。</w:t>
      </w:r>
    </w:p>
    <w:p w14:paraId="264C9BC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</w:rPr>
        <w:t>d) 观光列车的牵引连接装置及其二次保护装置缺失或失效</w:t>
      </w:r>
      <w:r>
        <w:rPr>
          <w:rFonts w:hint="default" w:ascii="Times New Roman" w:hAnsi="Times New Roman" w:cs="Times New Roman"/>
          <w:lang w:eastAsia="zh-CN"/>
        </w:rPr>
        <w:t>。</w:t>
      </w:r>
    </w:p>
    <w:p w14:paraId="049667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</w:rPr>
        <w:t>e) 非公路用旅游观光车辆超过最大行驶坡度使用</w:t>
      </w:r>
      <w:r>
        <w:rPr>
          <w:rFonts w:hint="default" w:ascii="Times New Roman" w:hAnsi="Times New Roman" w:cs="Times New Roman"/>
          <w:lang w:eastAsia="zh-CN"/>
        </w:rPr>
        <w:t>。</w:t>
      </w:r>
    </w:p>
    <w:p w14:paraId="179D95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9513C"/>
    <w:rsid w:val="19D9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2025-01-23T02:42:00Z</dcterms:created>
  <dc:creator>安然</dc:creator>
  <cp:lastModifiedBy>安然</cp:lastModifiedBy>
  <dcterms:modified xsi:type="dcterms:W3CDTF">2025-01-23T02:44:10Z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9B5CBCCF6B1A4D5CAEB73C62607FA44B_11</vt:lpwstr>
  </property>
  <property fmtid="{D5CDD505-2E9C-101B-9397-08002B2CF9AE}" pid="4" name="KSOTemplateDocerSaveRecord">
    <vt:lpwstr>eyJoZGlkIjoiMzg4MzY4MzQ2MzA4Y2RiOWRmYzIyODRkNjAxNzc0MzEifQ==</vt:lpwstr>
  </property>
</Properties>
</file>